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EC" w:rsidRPr="00B6361C" w:rsidRDefault="00B326EC" w:rsidP="00B326EC">
      <w:pPr>
        <w:jc w:val="center"/>
        <w:rPr>
          <w:rFonts w:ascii="Goudy Old Style" w:hAnsi="Goudy Old Style"/>
          <w:sz w:val="44"/>
          <w:szCs w:val="44"/>
        </w:rPr>
      </w:pPr>
      <w:r w:rsidRPr="00B6361C">
        <w:rPr>
          <w:rFonts w:ascii="Goudy Old Style" w:hAnsi="Goudy Old Style"/>
          <w:sz w:val="44"/>
          <w:szCs w:val="44"/>
        </w:rPr>
        <w:t>Chapter 9 – Key Issue #4 – Why do Countries Face Obstacles to Development?</w:t>
      </w:r>
    </w:p>
    <w:p w:rsidR="00AF3739" w:rsidRPr="00B6361C" w:rsidRDefault="00B326EC" w:rsidP="00B326EC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B6361C">
        <w:rPr>
          <w:rFonts w:ascii="Goudy Old Style" w:hAnsi="Goudy Old Style"/>
          <w:b/>
          <w:sz w:val="32"/>
          <w:szCs w:val="32"/>
          <w:u w:val="single"/>
        </w:rPr>
        <w:t>MODELS OF DEVELOPMENT</w:t>
      </w:r>
    </w:p>
    <w:p w:rsidR="00B326EC" w:rsidRPr="00B326EC" w:rsidRDefault="00B326EC" w:rsidP="00B326EC">
      <w:pPr>
        <w:spacing w:after="0"/>
        <w:rPr>
          <w:rFonts w:ascii="Goudy Old Style" w:hAnsi="Goudy Old Style"/>
          <w:b/>
          <w:sz w:val="28"/>
          <w:szCs w:val="28"/>
          <w:u w:val="single"/>
        </w:rPr>
      </w:pPr>
      <w:r w:rsidRPr="00B326EC">
        <w:rPr>
          <w:rFonts w:ascii="Goudy Old Style" w:hAnsi="Goudy Old Style"/>
          <w:b/>
          <w:sz w:val="28"/>
          <w:szCs w:val="28"/>
          <w:u w:val="single"/>
        </w:rPr>
        <w:t>Liberal Models</w:t>
      </w:r>
    </w:p>
    <w:p w:rsidR="00B326EC" w:rsidRPr="00B326EC" w:rsidRDefault="00B326EC" w:rsidP="00B326EC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B326EC">
        <w:rPr>
          <w:rFonts w:ascii="Goudy Old Style" w:hAnsi="Goudy Old Style"/>
          <w:sz w:val="24"/>
          <w:szCs w:val="24"/>
        </w:rPr>
        <w:t>All countries are capable of development</w:t>
      </w:r>
    </w:p>
    <w:p w:rsidR="001B14B0" w:rsidRDefault="00B326EC" w:rsidP="00B326EC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B326EC">
        <w:rPr>
          <w:rFonts w:ascii="Goudy Old Style" w:hAnsi="Goudy Old Style"/>
          <w:sz w:val="24"/>
          <w:szCs w:val="24"/>
        </w:rPr>
        <w:t>Economic disparities are a result of short term inefficiencies in local or regional market forces</w:t>
      </w:r>
    </w:p>
    <w:p w:rsidR="00B326EC" w:rsidRPr="00B326EC" w:rsidRDefault="00B326EC" w:rsidP="00B326EC">
      <w:pPr>
        <w:spacing w:after="0"/>
        <w:rPr>
          <w:rFonts w:ascii="Goudy Old Style" w:hAnsi="Goudy Old Style"/>
          <w:sz w:val="28"/>
          <w:szCs w:val="28"/>
        </w:rPr>
      </w:pPr>
    </w:p>
    <w:p w:rsidR="001B14B0" w:rsidRPr="00B326EC" w:rsidRDefault="00B326EC" w:rsidP="00B326EC">
      <w:pPr>
        <w:spacing w:after="0"/>
        <w:rPr>
          <w:rFonts w:ascii="Goudy Old Style" w:hAnsi="Goudy Old Style"/>
          <w:b/>
          <w:sz w:val="28"/>
          <w:szCs w:val="28"/>
          <w:u w:val="single"/>
        </w:rPr>
      </w:pPr>
      <w:proofErr w:type="spellStart"/>
      <w:r w:rsidRPr="00B326EC">
        <w:rPr>
          <w:rFonts w:ascii="Goudy Old Style" w:hAnsi="Goudy Old Style"/>
          <w:b/>
          <w:sz w:val="28"/>
          <w:szCs w:val="28"/>
          <w:u w:val="single"/>
        </w:rPr>
        <w:t>Structuralist</w:t>
      </w:r>
      <w:proofErr w:type="spellEnd"/>
      <w:r w:rsidRPr="00B326EC">
        <w:rPr>
          <w:rFonts w:ascii="Goudy Old Style" w:hAnsi="Goudy Old Style"/>
          <w:b/>
          <w:sz w:val="28"/>
          <w:szCs w:val="28"/>
          <w:u w:val="single"/>
        </w:rPr>
        <w:t xml:space="preserve"> Models</w:t>
      </w:r>
    </w:p>
    <w:p w:rsidR="00B326EC" w:rsidRDefault="00B326EC" w:rsidP="00B326EC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B326EC">
        <w:rPr>
          <w:rFonts w:ascii="Goudy Old Style" w:hAnsi="Goudy Old Style"/>
          <w:sz w:val="24"/>
          <w:szCs w:val="24"/>
        </w:rPr>
        <w:t>Regional disparities are a structural feature of the global economy</w:t>
      </w:r>
    </w:p>
    <w:p w:rsidR="001B14B0" w:rsidRPr="00B326EC" w:rsidRDefault="00B326EC" w:rsidP="00B326EC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B326EC">
        <w:rPr>
          <w:rFonts w:ascii="Goudy Old Style" w:hAnsi="Goudy Old Style"/>
          <w:sz w:val="24"/>
          <w:szCs w:val="24"/>
        </w:rPr>
        <w:t>Things have come to be organized or structured in a way and cannot be changed easily</w:t>
      </w:r>
    </w:p>
    <w:p w:rsidR="00B326EC" w:rsidRPr="00B326EC" w:rsidRDefault="00B326EC" w:rsidP="00B326EC">
      <w:pPr>
        <w:rPr>
          <w:rFonts w:ascii="Goudy Old Style" w:hAnsi="Goudy Old Style"/>
          <w:b/>
          <w:sz w:val="24"/>
          <w:szCs w:val="24"/>
        </w:rPr>
      </w:pPr>
    </w:p>
    <w:p w:rsidR="00B326EC" w:rsidRDefault="00B326EC" w:rsidP="00B326EC">
      <w:pPr>
        <w:rPr>
          <w:rFonts w:ascii="Goudy Old Style" w:hAnsi="Goudy Old Style"/>
          <w:b/>
          <w:sz w:val="28"/>
          <w:szCs w:val="28"/>
          <w:u w:val="single"/>
        </w:rPr>
      </w:pPr>
      <w:r w:rsidRPr="00B326EC">
        <w:rPr>
          <w:rFonts w:ascii="Goudy Old Style" w:hAnsi="Goudy Old Style"/>
          <w:b/>
          <w:sz w:val="28"/>
          <w:szCs w:val="28"/>
          <w:u w:val="single"/>
        </w:rPr>
        <w:t>Self-Sufficiency Model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For most of the twentieth century</w:t>
      </w: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, </w:t>
      </w: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>self-sufficiency</w:t>
      </w: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, or </w:t>
      </w: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>balanced growth</w:t>
      </w: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, was the more popular of the development alternatives. 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The world’s two most populous countries, China and India, adopted this strategy, as did most African and Eastern European countries.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A</w:t>
      </w: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country should spread investment as equally as possible across all sectors of its economy, and in all regions. 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Reducing poverty takes precedence over encouraging a few people to become wealthy consumers. 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The approach nurses fledgling businesses by isolating them from competition of large international corporations. 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Countries promote self-sufficiency by setting barriers that limit the import of goods from other places.</w:t>
      </w:r>
    </w:p>
    <w:p w:rsidR="00E647F5" w:rsidRPr="00E647F5" w:rsidRDefault="00E647F5" w:rsidP="00E647F5">
      <w:pPr>
        <w:pStyle w:val="ListParagraph"/>
        <w:numPr>
          <w:ilvl w:val="1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Tariffs, quotas on imports, licensing for importers </w:t>
      </w:r>
    </w:p>
    <w:p w:rsidR="00E647F5" w:rsidRPr="00E647F5" w:rsidRDefault="00E647F5" w:rsidP="00E647F5">
      <w:pPr>
        <w:pStyle w:val="ListParagraph"/>
        <w:numPr>
          <w:ilvl w:val="0"/>
          <w:numId w:val="8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approach also restricts local businesses from exporting to other countries.</w:t>
      </w:r>
    </w:p>
    <w:p w:rsidR="00E647F5" w:rsidRPr="00E647F5" w:rsidRDefault="00E647F5" w:rsidP="00E647F5">
      <w:pPr>
        <w:pStyle w:val="ListParagraph"/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E647F5" w:rsidRDefault="00E647F5" w:rsidP="00E647F5">
      <w:pPr>
        <w:spacing w:after="0" w:line="240" w:lineRule="auto"/>
        <w:contextualSpacing/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>India: Example of</w:t>
      </w:r>
      <w:r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 xml:space="preserve"> the Self-Sufficiency Approach</w:t>
      </w:r>
    </w:p>
    <w:p w:rsidR="00E647F5" w:rsidRPr="00E647F5" w:rsidRDefault="00E647F5" w:rsidP="00E647F5">
      <w:pPr>
        <w:pStyle w:val="ListParagraph"/>
        <w:numPr>
          <w:ilvl w:val="0"/>
          <w:numId w:val="10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For many years India made effective use of many barriers to trade. </w:t>
      </w:r>
    </w:p>
    <w:p w:rsidR="00E647F5" w:rsidRPr="00E647F5" w:rsidRDefault="00E647F5" w:rsidP="00E647F5">
      <w:pPr>
        <w:pStyle w:val="ListParagraph"/>
        <w:numPr>
          <w:ilvl w:val="0"/>
          <w:numId w:val="10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Businesses were supposed to produce goods for consumption inside India. </w:t>
      </w:r>
    </w:p>
    <w:p w:rsidR="00E647F5" w:rsidRPr="00E647F5" w:rsidRDefault="00E647F5" w:rsidP="00E647F5">
      <w:pPr>
        <w:pStyle w:val="ListParagraph"/>
        <w:numPr>
          <w:ilvl w:val="0"/>
          <w:numId w:val="10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If private companies were unable to make a profit selling goods only inside India, the government provided subsidies, such as cheap electricity, or wiped out debts. </w:t>
      </w:r>
    </w:p>
    <w:p w:rsidR="00E647F5" w:rsidRPr="00E647F5" w:rsidRDefault="00E647F5" w:rsidP="00E647F5">
      <w:pPr>
        <w:pStyle w:val="ListParagraph"/>
        <w:numPr>
          <w:ilvl w:val="0"/>
          <w:numId w:val="10"/>
        </w:numPr>
        <w:spacing w:after="0" w:line="192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The government owned not just communications, transportation, and power companies, a common feature around the world, but also businesses such as insurance companies and automakers, left to the private sector in most countries.</w:t>
      </w:r>
    </w:p>
    <w:p w:rsidR="00E647F5" w:rsidRDefault="00E647F5" w:rsidP="00E647F5">
      <w:pPr>
        <w:spacing w:after="0" w:line="240" w:lineRule="auto"/>
        <w:contextualSpacing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</w:p>
    <w:p w:rsidR="00E647F5" w:rsidRPr="00E647F5" w:rsidRDefault="00E647F5" w:rsidP="00E647F5">
      <w:pPr>
        <w:spacing w:after="0" w:line="240" w:lineRule="auto"/>
        <w:contextualSpacing/>
        <w:rPr>
          <w:rFonts w:ascii="Goudy Old Style" w:eastAsia="Times New Roman" w:hAnsi="Goudy Old Style" w:cs="Times New Roman"/>
          <w:b/>
          <w:sz w:val="28"/>
          <w:szCs w:val="28"/>
          <w:u w:val="single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 xml:space="preserve">Problems with the Self-Sufficiency Alternative </w:t>
      </w:r>
    </w:p>
    <w:p w:rsidR="00E647F5" w:rsidRPr="00E647F5" w:rsidRDefault="00E647F5" w:rsidP="00E647F5">
      <w:pPr>
        <w:pStyle w:val="ListParagraph"/>
        <w:numPr>
          <w:ilvl w:val="0"/>
          <w:numId w:val="11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The experience of India and other LDCs revealed two major problems with self-sufficiency: </w:t>
      </w:r>
    </w:p>
    <w:p w:rsidR="00E647F5" w:rsidRPr="00E647F5" w:rsidRDefault="00E647F5" w:rsidP="00E647F5">
      <w:pPr>
        <w:pStyle w:val="ListParagraph"/>
        <w:numPr>
          <w:ilvl w:val="1"/>
          <w:numId w:val="11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Too much government control left businesses with little incentive to improve</w:t>
      </w:r>
    </w:p>
    <w:p w:rsidR="00E647F5" w:rsidRPr="00E647F5" w:rsidRDefault="00E647F5" w:rsidP="00E647F5">
      <w:pPr>
        <w:pStyle w:val="ListParagraph"/>
        <w:numPr>
          <w:ilvl w:val="1"/>
          <w:numId w:val="11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Inefficiency: self-sufficiency protects inefficient industries. Companies protected from international competition do not feel pressure to keep abreast of rapid technological changes.</w:t>
      </w:r>
    </w:p>
    <w:p w:rsidR="00E647F5" w:rsidRPr="00E647F5" w:rsidRDefault="00E647F5" w:rsidP="00E647F5">
      <w:pPr>
        <w:pStyle w:val="ListParagraph"/>
        <w:numPr>
          <w:ilvl w:val="1"/>
          <w:numId w:val="11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E647F5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Large bureaucracy: the second problem was the large bureaucracy needed to administer the controls. A complex administrative system encouraged abuse and corruption.</w:t>
      </w:r>
    </w:p>
    <w:p w:rsidR="00E647F5" w:rsidRDefault="00E647F5" w:rsidP="00E647F5">
      <w:pPr>
        <w:spacing w:after="0" w:line="240" w:lineRule="auto"/>
        <w:contextualSpacing/>
        <w:textAlignment w:val="baseline"/>
        <w:rPr>
          <w:rFonts w:eastAsiaTheme="minorEastAsia" w:hAnsi="Calibri"/>
          <w:color w:val="000000" w:themeColor="text1"/>
          <w:kern w:val="24"/>
          <w:sz w:val="48"/>
          <w:szCs w:val="48"/>
        </w:rPr>
      </w:pPr>
    </w:p>
    <w:p w:rsidR="00E647F5" w:rsidRDefault="00E647F5" w:rsidP="00E647F5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</w:pPr>
    </w:p>
    <w:p w:rsidR="00B6361C" w:rsidRDefault="00B6361C" w:rsidP="00E647F5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</w:pPr>
    </w:p>
    <w:p w:rsidR="00E647F5" w:rsidRPr="00E647F5" w:rsidRDefault="00E647F5" w:rsidP="00E647F5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</w:pPr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lastRenderedPageBreak/>
        <w:t xml:space="preserve">International Trade Model or </w:t>
      </w:r>
      <w:proofErr w:type="spellStart"/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>Rostow’s</w:t>
      </w:r>
      <w:proofErr w:type="spellEnd"/>
      <w:r w:rsidRPr="00E647F5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 xml:space="preserve"> Model of Development</w:t>
      </w:r>
    </w:p>
    <w:p w:rsidR="00E647F5" w:rsidRDefault="00E647F5" w:rsidP="00004B57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The </w:t>
      </w:r>
      <w:r w:rsidRPr="00004B57">
        <w:rPr>
          <w:rFonts w:ascii="Goudy Old Style" w:eastAsiaTheme="minorEastAsia" w:hAnsi="Goudy Old Style"/>
          <w:b/>
          <w:bCs/>
          <w:color w:val="000000" w:themeColor="text1"/>
          <w:kern w:val="24"/>
          <w:sz w:val="24"/>
          <w:szCs w:val="24"/>
          <w:u w:val="single"/>
        </w:rPr>
        <w:t>international trade model of development</w:t>
      </w: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calls for a country to identify its distinctive or unique economic assets. </w:t>
      </w:r>
      <w:r w:rsidR="00004B57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According to the international trade approach, a country can develop economically by concentrating scarce resources on expansion of i</w:t>
      </w:r>
      <w:r w:rsid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ts distinctive local industries (</w:t>
      </w: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I.e. oil In Kuwait</w:t>
      </w:r>
      <w:r w:rsid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)</w:t>
      </w:r>
    </w:p>
    <w:p w:rsidR="00B6361C" w:rsidRDefault="00B6361C" w:rsidP="00B6361C">
      <w:pPr>
        <w:spacing w:after="0" w:line="216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proofErr w:type="spellStart"/>
      <w:r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Rostow</w:t>
      </w:r>
      <w:proofErr w:type="spellEnd"/>
      <w:r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</w:t>
      </w: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based his theory on two ideas:</w:t>
      </w:r>
    </w:p>
    <w:p w:rsidR="00B6361C" w:rsidRPr="00004B57" w:rsidRDefault="00B6361C" w:rsidP="00B6361C">
      <w:pPr>
        <w:pStyle w:val="ListParagraph"/>
        <w:numPr>
          <w:ilvl w:val="0"/>
          <w:numId w:val="12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If some countries can do it, why can’t others?</w:t>
      </w:r>
    </w:p>
    <w:p w:rsidR="00B6361C" w:rsidRPr="00004B57" w:rsidRDefault="00B6361C" w:rsidP="00B6361C">
      <w:pPr>
        <w:pStyle w:val="ListParagraph"/>
        <w:numPr>
          <w:ilvl w:val="0"/>
          <w:numId w:val="12"/>
        </w:numPr>
        <w:spacing w:after="0" w:line="216" w:lineRule="auto"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In the past, LDCs contained an abundant supply of raw materials sought after by MDCs.  Without colonial influences, why can’t they sell these materials and generat</w:t>
      </w:r>
      <w:r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e funds to promote development?</w:t>
      </w:r>
    </w:p>
    <w:p w:rsidR="00E647F5" w:rsidRPr="00E647F5" w:rsidRDefault="00E647F5" w:rsidP="00004B57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</w:p>
    <w:p w:rsidR="00E647F5" w:rsidRPr="00004B57" w:rsidRDefault="00E647F5" w:rsidP="00004B57">
      <w:pPr>
        <w:pStyle w:val="ListParagraph"/>
        <w:numPr>
          <w:ilvl w:val="0"/>
          <w:numId w:val="11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According to the international trade model, each country is in one of these five stages of development. </w:t>
      </w:r>
    </w:p>
    <w:p w:rsidR="00E647F5" w:rsidRPr="00E647F5" w:rsidRDefault="00E647F5" w:rsidP="00E647F5">
      <w:pPr>
        <w:spacing w:before="125" w:after="0" w:line="192" w:lineRule="auto"/>
        <w:ind w:left="1166" w:hanging="446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1. The traditional society.</w:t>
      </w:r>
    </w:p>
    <w:p w:rsidR="00E647F5" w:rsidRPr="00E647F5" w:rsidRDefault="00E647F5" w:rsidP="00E647F5">
      <w:pPr>
        <w:spacing w:before="125" w:after="0" w:line="192" w:lineRule="auto"/>
        <w:ind w:left="1166" w:hanging="446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2. The preconditions for takeoff.</w:t>
      </w:r>
    </w:p>
    <w:p w:rsidR="00E647F5" w:rsidRPr="00E647F5" w:rsidRDefault="00E647F5" w:rsidP="00E647F5">
      <w:pPr>
        <w:spacing w:before="125" w:after="0" w:line="192" w:lineRule="auto"/>
        <w:ind w:left="1166" w:hanging="446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3. The takeoff.</w:t>
      </w:r>
    </w:p>
    <w:p w:rsidR="00E647F5" w:rsidRPr="00E647F5" w:rsidRDefault="00E647F5" w:rsidP="00E647F5">
      <w:pPr>
        <w:spacing w:before="125" w:after="0" w:line="192" w:lineRule="auto"/>
        <w:ind w:left="1166" w:hanging="446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4. The drive to maturity.</w:t>
      </w:r>
    </w:p>
    <w:p w:rsidR="00E647F5" w:rsidRDefault="00E647F5" w:rsidP="00E647F5">
      <w:pPr>
        <w:spacing w:before="125" w:after="0" w:line="192" w:lineRule="auto"/>
        <w:ind w:left="1166" w:hanging="446"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5. The age of mass consumption.</w:t>
      </w:r>
    </w:p>
    <w:p w:rsidR="00004B57" w:rsidRPr="00E647F5" w:rsidRDefault="00004B57" w:rsidP="00E647F5">
      <w:pPr>
        <w:spacing w:before="125" w:after="0" w:line="192" w:lineRule="auto"/>
        <w:ind w:left="1166" w:hanging="446"/>
        <w:rPr>
          <w:rFonts w:ascii="Goudy Old Style" w:eastAsia="Times New Roman" w:hAnsi="Goudy Old Style" w:cs="Times New Roman"/>
          <w:sz w:val="24"/>
          <w:szCs w:val="24"/>
        </w:rPr>
      </w:pPr>
    </w:p>
    <w:p w:rsidR="00004B57" w:rsidRPr="00004B57" w:rsidRDefault="00E647F5" w:rsidP="00004B57">
      <w:pPr>
        <w:pStyle w:val="ListParagraph"/>
        <w:numPr>
          <w:ilvl w:val="0"/>
          <w:numId w:val="11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The model assumes that less developed countries will achieve development by moving along from an earlier to a later stage. </w:t>
      </w:r>
      <w:r w:rsidR="00B6361C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(</w:t>
      </w:r>
      <w:r w:rsid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Liberal model)</w:t>
      </w:r>
    </w:p>
    <w:p w:rsidR="00004B57" w:rsidRDefault="00E647F5" w:rsidP="00004B57">
      <w:pPr>
        <w:pStyle w:val="ListParagraph"/>
        <w:numPr>
          <w:ilvl w:val="0"/>
          <w:numId w:val="11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A country that concentrates on international trade benefits from exposure to consumers in other countries. Concern for international competitiveness in the exporting takeoff industries will filter through less advanced economic sectors.</w:t>
      </w:r>
    </w:p>
    <w:p w:rsidR="00004B57" w:rsidRPr="00004B57" w:rsidRDefault="00E647F5" w:rsidP="00004B57">
      <w:pPr>
        <w:pStyle w:val="ListParagraph"/>
        <w:numPr>
          <w:ilvl w:val="1"/>
          <w:numId w:val="6"/>
        </w:numPr>
        <w:spacing w:after="0" w:line="192" w:lineRule="auto"/>
        <w:rPr>
          <w:rFonts w:ascii="Goudy Old Style" w:eastAsia="Times New Roman" w:hAnsi="Goudy Old Style" w:cs="Times New Roman"/>
          <w:b/>
          <w:sz w:val="24"/>
          <w:szCs w:val="24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traditional society.</w:t>
      </w:r>
    </w:p>
    <w:p w:rsid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society has not yet started to develop</w:t>
      </w:r>
    </w:p>
    <w:p w:rsid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Engaged in agriculture and other “nonproductive activities” like military and religion</w:t>
      </w:r>
    </w:p>
    <w:p w:rsidR="00004B57" w:rsidRDefault="00E647F5" w:rsidP="00004B57">
      <w:pPr>
        <w:pStyle w:val="ListParagraph"/>
        <w:numPr>
          <w:ilvl w:val="1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preconditions for takeoff</w:t>
      </w: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.</w:t>
      </w:r>
    </w:p>
    <w:p w:rsidR="00004B57" w:rsidRP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an elite g</w:t>
      </w:r>
      <w:r w:rsid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roup initiates economic activities</w:t>
      </w:r>
    </w:p>
    <w:p w:rsid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Investment in infrastructure, which stimulates an increase    in productivity</w:t>
      </w:r>
    </w:p>
    <w:p w:rsidR="00004B57" w:rsidRPr="00004B57" w:rsidRDefault="00E647F5" w:rsidP="00004B57">
      <w:pPr>
        <w:pStyle w:val="ListParagraph"/>
        <w:numPr>
          <w:ilvl w:val="1"/>
          <w:numId w:val="6"/>
        </w:numPr>
        <w:spacing w:after="0" w:line="192" w:lineRule="auto"/>
        <w:rPr>
          <w:rFonts w:ascii="Goudy Old Style" w:eastAsia="Times New Roman" w:hAnsi="Goudy Old Style" w:cs="Times New Roman"/>
          <w:b/>
          <w:sz w:val="24"/>
          <w:szCs w:val="24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takeoff.</w:t>
      </w:r>
    </w:p>
    <w:p w:rsid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</w:pPr>
      <w:proofErr w:type="gramStart"/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rapid</w:t>
      </w:r>
      <w:proofErr w:type="gramEnd"/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 xml:space="preserve"> growth in limited economic activities, other sectors remain do</w:t>
      </w:r>
      <w:r w:rsid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minated by traditional practice.</w:t>
      </w:r>
    </w:p>
    <w:p w:rsidR="00004B57" w:rsidRPr="00004B57" w:rsidRDefault="00E647F5" w:rsidP="00004B57">
      <w:pPr>
        <w:pStyle w:val="ListParagraph"/>
        <w:numPr>
          <w:ilvl w:val="1"/>
          <w:numId w:val="6"/>
        </w:numPr>
        <w:spacing w:after="0" w:line="192" w:lineRule="auto"/>
        <w:rPr>
          <w:rFonts w:ascii="Goudy Old Style" w:eastAsiaTheme="minorEastAsia" w:hAnsi="Goudy Old Style"/>
          <w:b/>
          <w:i/>
          <w:iCs/>
          <w:color w:val="000000" w:themeColor="text1"/>
          <w:kern w:val="24"/>
          <w:sz w:val="24"/>
          <w:szCs w:val="24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drive to maturity.</w:t>
      </w:r>
    </w:p>
    <w:p w:rsidR="00E647F5" w:rsidRPr="00004B57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Modern technology diffuses to a variety of industries, rapid growth, workers become more skilled and specialized</w:t>
      </w:r>
    </w:p>
    <w:p w:rsidR="00E647F5" w:rsidRPr="00004B57" w:rsidRDefault="00E647F5" w:rsidP="00004B57">
      <w:pPr>
        <w:pStyle w:val="ListParagraph"/>
        <w:numPr>
          <w:ilvl w:val="1"/>
          <w:numId w:val="6"/>
        </w:numPr>
        <w:spacing w:after="0" w:line="192" w:lineRule="auto"/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The age of mass consumption.</w:t>
      </w:r>
    </w:p>
    <w:p w:rsidR="00E647F5" w:rsidRPr="00B6361C" w:rsidRDefault="00E647F5" w:rsidP="00004B57">
      <w:pPr>
        <w:pStyle w:val="ListParagraph"/>
        <w:numPr>
          <w:ilvl w:val="2"/>
          <w:numId w:val="6"/>
        </w:num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i/>
          <w:iCs/>
          <w:color w:val="000000" w:themeColor="text1"/>
          <w:kern w:val="24"/>
          <w:sz w:val="24"/>
          <w:szCs w:val="24"/>
        </w:rPr>
        <w:t>economy shifts from production of heavy industry to consumer goods</w:t>
      </w: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71F091" wp14:editId="0126D647">
            <wp:simplePos x="0" y="0"/>
            <wp:positionH relativeFrom="column">
              <wp:posOffset>28575</wp:posOffset>
            </wp:positionH>
            <wp:positionV relativeFrom="paragraph">
              <wp:posOffset>137795</wp:posOffset>
            </wp:positionV>
            <wp:extent cx="7087235" cy="3435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32265" r="5769" b="9188"/>
                    <a:stretch/>
                  </pic:blipFill>
                  <pic:spPr bwMode="auto">
                    <a:xfrm>
                      <a:off x="0" y="0"/>
                      <a:ext cx="7087235" cy="343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Pr="00B6361C" w:rsidRDefault="00B6361C" w:rsidP="00B6361C">
      <w:pPr>
        <w:spacing w:after="0" w:line="192" w:lineRule="auto"/>
        <w:rPr>
          <w:rFonts w:ascii="Goudy Old Style" w:eastAsia="Times New Roman" w:hAnsi="Goudy Old Style" w:cs="Times New Roman"/>
          <w:sz w:val="24"/>
          <w:szCs w:val="24"/>
        </w:rPr>
      </w:pPr>
    </w:p>
    <w:p w:rsidR="00004B57" w:rsidRDefault="00004B57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6361C" w:rsidRDefault="00B6361C" w:rsidP="00004B57">
      <w:pPr>
        <w:spacing w:after="0" w:line="240" w:lineRule="auto"/>
        <w:ind w:left="1267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E647F5" w:rsidRPr="00E647F5" w:rsidRDefault="00E647F5" w:rsidP="00004B57">
      <w:pPr>
        <w:spacing w:after="0" w:line="240" w:lineRule="auto"/>
        <w:contextualSpacing/>
        <w:rPr>
          <w:rFonts w:ascii="Goudy Old Style" w:eastAsia="Times New Roman" w:hAnsi="Goudy Old Style" w:cs="Times New Roman"/>
          <w:b/>
          <w:sz w:val="28"/>
          <w:szCs w:val="28"/>
          <w:u w:val="single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lastRenderedPageBreak/>
        <w:t>Examples of International Trade Approach</w:t>
      </w:r>
    </w:p>
    <w:p w:rsidR="00004B57" w:rsidRDefault="00004B57" w:rsidP="00004B57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</w:pPr>
    </w:p>
    <w:p w:rsidR="00E647F5" w:rsidRPr="00E647F5" w:rsidRDefault="00E647F5" w:rsidP="00004B57">
      <w:p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 w:rsidRPr="00004B57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>Petroleum-Rich Persian Gulf States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This region was one of the </w:t>
      </w:r>
      <w:proofErr w:type="gramStart"/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world’s</w:t>
      </w:r>
      <w:proofErr w:type="gramEnd"/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least developed until the 1970s, when escalation of petroleum prices transformed these countries overnight into some of the wealthiest per capita.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Persian Gulf countries have used petroleum revenues to finance large-scale projects.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The landscape has been further changed by the diffusion of consumer goods.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Some Islamic religious principles, which dominate the culture of the Middle East, conflict with business practices in more developed countries. </w:t>
      </w:r>
    </w:p>
    <w:p w:rsidR="00B6361C" w:rsidRDefault="00E647F5" w:rsidP="00B6361C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Women are excluded from holding most jobs and visiting public places.</w:t>
      </w:r>
    </w:p>
    <w:p w:rsidR="00B6361C" w:rsidRDefault="00B6361C" w:rsidP="00B6361C">
      <w:p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E647F5" w:rsidRPr="00E647F5" w:rsidRDefault="00E647F5" w:rsidP="00B6361C">
      <w:p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 xml:space="preserve">The Four Asian Dragons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Also among the first countries to adopt the international trade alternative were South Korea, Singapore, Taiwan, and Hong Kong.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Singapore and Hong Kong, British colonies until 1965 and 1997, respectively, have virtually no natural resources.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Both comprise large cities surrounded by very small amounts of rural land.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South Korea and Taiwan have traditionally taken their lead from Japan.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Lacking natural resources, the four dragons promoted development by concentrating on producing a handful of manufactured goods, especially clothing and electronics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Low labor costs enable a higher profit margin</w:t>
      </w:r>
    </w:p>
    <w:p w:rsidR="00B6361C" w:rsidRDefault="00B6361C" w:rsidP="00B6361C">
      <w:pPr>
        <w:spacing w:after="0" w:line="240" w:lineRule="auto"/>
        <w:contextualSpacing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</w:p>
    <w:p w:rsidR="00E647F5" w:rsidRPr="00E647F5" w:rsidRDefault="00E647F5" w:rsidP="00B6361C">
      <w:pPr>
        <w:spacing w:after="0" w:line="240" w:lineRule="auto"/>
        <w:contextualSpacing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>Problems with the International Trade Alternative</w:t>
      </w:r>
    </w:p>
    <w:p w:rsidR="00E647F5" w:rsidRPr="00E647F5" w:rsidRDefault="00E647F5" w:rsidP="00004B57">
      <w:pPr>
        <w:numPr>
          <w:ilvl w:val="0"/>
          <w:numId w:val="14"/>
        </w:numPr>
        <w:spacing w:after="0" w:line="216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Three problems have hindered countries outside the Persian Gulf and the four Asian dragons from developing through the international trade approach:</w:t>
      </w:r>
    </w:p>
    <w:p w:rsidR="00E647F5" w:rsidRPr="00E647F5" w:rsidRDefault="00E647F5" w:rsidP="00004B57">
      <w:pPr>
        <w:numPr>
          <w:ilvl w:val="1"/>
          <w:numId w:val="14"/>
        </w:numPr>
        <w:spacing w:after="0" w:line="216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Uneven resource distribution</w:t>
      </w:r>
    </w:p>
    <w:p w:rsidR="00E647F5" w:rsidRPr="00E647F5" w:rsidRDefault="00E647F5" w:rsidP="00004B57">
      <w:pPr>
        <w:numPr>
          <w:ilvl w:val="1"/>
          <w:numId w:val="14"/>
        </w:numPr>
        <w:spacing w:after="0" w:line="216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Market stagnation/decline</w:t>
      </w:r>
    </w:p>
    <w:p w:rsidR="00E647F5" w:rsidRPr="00E647F5" w:rsidRDefault="00E647F5" w:rsidP="00004B57">
      <w:pPr>
        <w:numPr>
          <w:ilvl w:val="1"/>
          <w:numId w:val="14"/>
        </w:numPr>
        <w:spacing w:after="0" w:line="216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Increased dependence on MDCs</w:t>
      </w:r>
    </w:p>
    <w:p w:rsidR="00B6361C" w:rsidRDefault="00B6361C" w:rsidP="00B6361C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</w:p>
    <w:p w:rsidR="00E647F5" w:rsidRPr="00E647F5" w:rsidRDefault="00E647F5" w:rsidP="00B6361C">
      <w:p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  <w:u w:val="single"/>
        </w:rPr>
        <w:t>Recent Triumph of the International Trade Approach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Despite problems with the international trade approach, it has been embraced by most countries as the preferred alternative for stimulating development.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During the past quarter century, world wealth (as measured by GDP) has doubled, whereas world trade has tripled, a measure of the growing importance of the international trade approach.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India, for example, dismantled its formidable collection of barriers to international trade during the 1990s.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Countries converted from self-sufficiency to international trade during the 1990s for one simple reason: overwhelming evidence that international trade better promoted development.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In the case of India, under self-sufficiency between 1960 and 1990, GDP grew by 4 percent per year, much lower than in Asian countries that had embraced international trade. </w:t>
      </w:r>
    </w:p>
    <w:p w:rsidR="00E647F5" w:rsidRPr="00E647F5" w:rsidRDefault="00E647F5" w:rsidP="00004B57">
      <w:pPr>
        <w:numPr>
          <w:ilvl w:val="0"/>
          <w:numId w:val="14"/>
        </w:numPr>
        <w:spacing w:after="0" w:line="192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After adopting the international trade alternative in the early 1990s, India’s GDP grew 7 percent per year during the 1990s.</w:t>
      </w:r>
    </w:p>
    <w:p w:rsidR="00B6361C" w:rsidRDefault="00B6361C" w:rsidP="00B6361C">
      <w:pPr>
        <w:spacing w:after="0" w:line="240" w:lineRule="auto"/>
        <w:contextualSpacing/>
        <w:textAlignment w:val="baseline"/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</w:pPr>
    </w:p>
    <w:p w:rsidR="00E647F5" w:rsidRPr="00E647F5" w:rsidRDefault="00E647F5" w:rsidP="00B6361C">
      <w:p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8"/>
          <w:szCs w:val="28"/>
          <w:u w:val="single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8"/>
          <w:szCs w:val="28"/>
          <w:u w:val="single"/>
        </w:rPr>
        <w:t>Dependency Theory</w:t>
      </w:r>
    </w:p>
    <w:p w:rsidR="00E647F5" w:rsidRPr="00E647F5" w:rsidRDefault="00E647F5" w:rsidP="00004B57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b/>
          <w:sz w:val="24"/>
          <w:szCs w:val="24"/>
        </w:rPr>
      </w:pPr>
      <w:proofErr w:type="spellStart"/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Structuralist</w:t>
      </w:r>
      <w:proofErr w:type="spellEnd"/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 alternative to </w:t>
      </w:r>
      <w:proofErr w:type="spellStart"/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Rostow’s</w:t>
      </w:r>
      <w:proofErr w:type="spellEnd"/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 xml:space="preserve"> model</w:t>
      </w:r>
    </w:p>
    <w:p w:rsidR="00E647F5" w:rsidRPr="00E647F5" w:rsidRDefault="00E647F5" w:rsidP="00004B57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Political and economic relationships between countries and regions control and limit the economic development of less </w:t>
      </w:r>
      <w:proofErr w:type="spellStart"/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well off</w:t>
      </w:r>
      <w:proofErr w:type="spellEnd"/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regions</w:t>
      </w:r>
    </w:p>
    <w:p w:rsidR="00E647F5" w:rsidRPr="00B6361C" w:rsidRDefault="00E647F5" w:rsidP="00B6361C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004B57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Dependency helps sustain the prosperity of the dominant regions and </w:t>
      </w:r>
      <w:r w:rsidR="00B6361C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l</w:t>
      </w:r>
      <w:r w:rsidRPr="00B6361C"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>ittle hope for economic prosperity in regions and countries that have traditionally been dominated by external power</w:t>
      </w:r>
    </w:p>
    <w:p w:rsidR="00E647F5" w:rsidRPr="00B6361C" w:rsidRDefault="00B6361C" w:rsidP="00B6361C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In essence, industrialized nations continue to take resources from developing countries due to neocolonialism</w:t>
      </w:r>
      <w:r>
        <w:rPr>
          <w:rFonts w:ascii="Goudy Old Style" w:eastAsiaTheme="minorEastAsia" w:hAnsi="Goudy Old Style"/>
          <w:color w:val="000000" w:themeColor="text1"/>
          <w:kern w:val="24"/>
          <w:sz w:val="24"/>
          <w:szCs w:val="24"/>
        </w:rPr>
        <w:t xml:space="preserve"> (entrenchment of the colonial order such as trade and investment, under a new guise)- </w:t>
      </w:r>
      <w:r w:rsidRPr="00B6361C">
        <w:rPr>
          <w:rFonts w:ascii="Goudy Old Style" w:eastAsiaTheme="minorEastAsia" w:hAnsi="Goudy Old Style"/>
          <w:b/>
          <w:color w:val="000000" w:themeColor="text1"/>
          <w:kern w:val="24"/>
          <w:sz w:val="24"/>
          <w:szCs w:val="24"/>
        </w:rPr>
        <w:t>which widens the development gap</w:t>
      </w:r>
    </w:p>
    <w:p w:rsidR="00E647F5" w:rsidRDefault="00E647F5" w:rsidP="00B6361C">
      <w:pPr>
        <w:spacing w:after="0" w:line="240" w:lineRule="auto"/>
        <w:contextualSpacing/>
        <w:textAlignment w:val="baseline"/>
        <w:rPr>
          <w:rFonts w:ascii="Goudy Old Style" w:eastAsia="Times New Roman" w:hAnsi="Goudy Old Style" w:cs="Times New Roman"/>
          <w:sz w:val="24"/>
          <w:szCs w:val="24"/>
        </w:rPr>
      </w:pPr>
    </w:p>
    <w:p w:rsidR="00B326EC" w:rsidRPr="00004B57" w:rsidRDefault="00B326EC" w:rsidP="00B326EC">
      <w:pPr>
        <w:rPr>
          <w:rFonts w:ascii="Goudy Old Style" w:hAnsi="Goudy Old Style"/>
          <w:b/>
          <w:sz w:val="24"/>
          <w:szCs w:val="24"/>
          <w:u w:val="single"/>
        </w:rPr>
      </w:pPr>
      <w:bookmarkStart w:id="0" w:name="_GoBack"/>
      <w:bookmarkEnd w:id="0"/>
    </w:p>
    <w:sectPr w:rsidR="00B326EC" w:rsidRPr="00004B57" w:rsidSect="00B32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61A"/>
    <w:multiLevelType w:val="hybridMultilevel"/>
    <w:tmpl w:val="8BE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04EA"/>
    <w:multiLevelType w:val="hybridMultilevel"/>
    <w:tmpl w:val="487E8E1C"/>
    <w:lvl w:ilvl="0" w:tplc="4EE29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2BC4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6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85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941CBB"/>
    <w:multiLevelType w:val="hybridMultilevel"/>
    <w:tmpl w:val="C6506CE8"/>
    <w:lvl w:ilvl="0" w:tplc="830C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403F6">
      <w:start w:val="2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2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E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6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E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8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6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B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D470BA"/>
    <w:multiLevelType w:val="hybridMultilevel"/>
    <w:tmpl w:val="B17670F4"/>
    <w:lvl w:ilvl="0" w:tplc="E670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2D7"/>
    <w:multiLevelType w:val="hybridMultilevel"/>
    <w:tmpl w:val="1DBE6844"/>
    <w:lvl w:ilvl="0" w:tplc="E670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4D13"/>
    <w:multiLevelType w:val="hybridMultilevel"/>
    <w:tmpl w:val="9CE0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D2EF8"/>
    <w:multiLevelType w:val="hybridMultilevel"/>
    <w:tmpl w:val="3A0A04B6"/>
    <w:lvl w:ilvl="0" w:tplc="E670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689"/>
    <w:multiLevelType w:val="hybridMultilevel"/>
    <w:tmpl w:val="4DC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10E1"/>
    <w:multiLevelType w:val="hybridMultilevel"/>
    <w:tmpl w:val="640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79E6"/>
    <w:multiLevelType w:val="hybridMultilevel"/>
    <w:tmpl w:val="9B70AB44"/>
    <w:lvl w:ilvl="0" w:tplc="021C5E4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5EFAF60E">
      <w:start w:val="520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2814D8F8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603AF610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5254DF7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7B7E087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5D10A93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1ACC7C5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6F3E0456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0">
    <w:nsid w:val="4F133F85"/>
    <w:multiLevelType w:val="hybridMultilevel"/>
    <w:tmpl w:val="1F1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D7544"/>
    <w:multiLevelType w:val="hybridMultilevel"/>
    <w:tmpl w:val="3B1AE744"/>
    <w:lvl w:ilvl="0" w:tplc="E670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07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Theme="minorEastAsia" w:hAnsi="Goudy Old Style" w:cstheme="minorBidi"/>
      </w:rPr>
    </w:lvl>
    <w:lvl w:ilvl="2" w:tplc="7710268C">
      <w:start w:val="5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4995C">
      <w:start w:val="5"/>
      <w:numFmt w:val="bullet"/>
      <w:lvlText w:val=""/>
      <w:lvlJc w:val="left"/>
      <w:pPr>
        <w:ind w:left="2880" w:hanging="360"/>
      </w:pPr>
      <w:rPr>
        <w:rFonts w:ascii="Wingdings" w:eastAsiaTheme="minorEastAsia" w:hAnsi="Wingdings" w:cstheme="minorBidi" w:hint="default"/>
        <w:i/>
        <w:color w:val="000000" w:themeColor="text1"/>
      </w:rPr>
    </w:lvl>
    <w:lvl w:ilvl="4" w:tplc="1970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E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A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C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63703B"/>
    <w:multiLevelType w:val="hybridMultilevel"/>
    <w:tmpl w:val="C19AB0E2"/>
    <w:lvl w:ilvl="0" w:tplc="65F2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446E">
      <w:start w:val="2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A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C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E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C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6C5805"/>
    <w:multiLevelType w:val="hybridMultilevel"/>
    <w:tmpl w:val="16620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6EC"/>
    <w:rsid w:val="00004B57"/>
    <w:rsid w:val="001B14B0"/>
    <w:rsid w:val="003E6555"/>
    <w:rsid w:val="00AF3739"/>
    <w:rsid w:val="00B326EC"/>
    <w:rsid w:val="00B6361C"/>
    <w:rsid w:val="00E50953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50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36">
          <w:marLeft w:val="204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754">
          <w:marLeft w:val="204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1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1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4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22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50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Bellisari</dc:creator>
  <cp:lastModifiedBy>Maureen Murphy</cp:lastModifiedBy>
  <cp:revision>2</cp:revision>
  <cp:lastPrinted>2014-09-30T16:05:00Z</cp:lastPrinted>
  <dcterms:created xsi:type="dcterms:W3CDTF">2014-09-27T20:59:00Z</dcterms:created>
  <dcterms:modified xsi:type="dcterms:W3CDTF">2014-09-30T16:06:00Z</dcterms:modified>
</cp:coreProperties>
</file>